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E27C8" w:rsidRPr="002E27C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27C8" w:rsidRPr="002E27C8" w:rsidRDefault="002E27C8" w:rsidP="002E27C8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</w:pPr>
            <w:r w:rsidRPr="002E27C8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 xml:space="preserve">Рустам </w:t>
            </w:r>
            <w:proofErr w:type="spellStart"/>
            <w:r w:rsidRPr="002E27C8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>Минниханов</w:t>
            </w:r>
            <w:proofErr w:type="spellEnd"/>
            <w:r w:rsidRPr="002E27C8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>: «На стройках Татарстана погибло 86 человек</w:t>
            </w:r>
            <w:proofErr w:type="gramStart"/>
            <w:r w:rsidRPr="002E27C8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>… Э</w:t>
            </w:r>
            <w:proofErr w:type="gramEnd"/>
            <w:r w:rsidRPr="002E27C8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 xml:space="preserve">то не война! Это бардак!» </w:t>
            </w:r>
          </w:p>
        </w:tc>
      </w:tr>
      <w:tr w:rsidR="002E27C8" w:rsidRPr="002E27C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27C8" w:rsidRPr="002E27C8" w:rsidRDefault="002E27C8" w:rsidP="002E27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17 января 2011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В РТ РЕШИЛИ ОТКАЗАТЬСЯ ОТ РЕКОРДОВ ПО СОЦИПОТЕКЕ, НО ПРИ ЭТОМ ВВЕСТИ НА 300 ТЫС. КВ.М. ЖИЛЬЯ БОЛЬШЕ, ЧЕМ В 2010 ГОДУ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В минувшую субботу на итоговой коллегии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минстроя</w:t>
            </w:r>
            <w:proofErr w:type="spellEnd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президент РТ Рустам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Минниханов</w:t>
            </w:r>
            <w:proofErr w:type="spellEnd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выступил фактически с программной речью о перспективах строительной отрасли республики. В ней он уделил минимум внимания таким мега-проектам как Универсиада и ТАНЕКО, но при этом призвал сосредоточиться на программах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соципотеки</w:t>
            </w:r>
            <w:proofErr w:type="spellEnd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, строительстве объектов соцкультбыта, техники безопасности и стимулированию прихода малого бизнеса в сферу ЖКХ. 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О РОЛИ ЛИЧНОСТИ 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Итоговая коллегии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минстроя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РТ, одного из ключевых ведомств, курирующего важный сектор республиканской экономики, собрала полный зал участников, включая почетного московского гостя  - </w:t>
            </w: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Илью Пономарева</w:t>
            </w: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руководителя департамента архитектуры, строительства и градостроительной политики Минрегионразвития России.  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210"/>
            </w:tblGrid>
            <w:tr w:rsidR="002E27C8" w:rsidRPr="002E27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27C8" w:rsidRPr="002E27C8" w:rsidRDefault="002E27C8" w:rsidP="002E27C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2"/>
                      <w:lang w:eastAsia="ru-RU"/>
                    </w:rPr>
                  </w:pPr>
                  <w:r w:rsidRPr="002E27C8">
                    <w:rPr>
                      <w:rFonts w:ascii="Verdana" w:eastAsia="Times New Roman" w:hAnsi="Verdana" w:cs="Times New Roman"/>
                      <w:color w:val="000000"/>
                      <w:sz w:val="22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50.4pt;height:225.1pt" o:ole="">
                        <v:imagedata r:id="rId4" o:title=""/>
                      </v:shape>
                      <w:control r:id="rId5" w:name="DefaultOcxName" w:shapeid="_x0000_i1027"/>
                    </w:object>
                  </w:r>
                </w:p>
              </w:tc>
            </w:tr>
          </w:tbl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Заметим, что самый долгожданный москвич – экс-министр строительства РТ </w:t>
            </w: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Марат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Хуснуллин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а ныне вице-мэр Москвы, вопреки появившейся информации, так и не приехал.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В отличие от предыдущих итоговых заседаний, где приоритеты и точки роста для отрасли озвучивал глава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минстроя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, в этот раз с программной речью выступил сам </w:t>
            </w: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Рустам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Минниханов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 Акценты, которые даже в чем-то входили в противоречие с интересами татарстанского строительного лобби, в его выступлении ней были смещены в сторону развития социального строительства. 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Использование </w:t>
            </w:r>
            <w:proofErr w:type="gram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всевозможных</w:t>
            </w:r>
            <w:proofErr w:type="gram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электронных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гаджетов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стало не только модой, но и даже своего рода элементом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дресс-кода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татарстанского чиновника, то Рустам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Нургалиевич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выступал без бумажки, но время от времени подглядывал в свой «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айпад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».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Свою речь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Минниханов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начал с поздравления с днем рождения главы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Пестречинского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района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Шайхуллу</w:t>
            </w:r>
            <w:proofErr w:type="spellEnd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Насыбуллина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 «Это  настоящий строитель. Мы вместе с ним работали. Теперь он будет активно работать на своей этой должности», - сказал обнадеживающе  президент своему соратнику в режиме видеосвязи.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Далее президент сделал дежурный реверанс в сторону строителей, отметив, что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стройкомплекс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республики является одним из самых мощных в республике, который показал свою эффективность во время реализации проектов ТАНЕКО, объектов Универсиады, особой экономической зоны «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Алабуга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». «В следующем </w:t>
            </w: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lastRenderedPageBreak/>
              <w:t>году предстоит показать себя на строительстве завода «Аммония», 2-й очереди ТАНЕКО», - добавил президент.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КАК У ТАЛГАТА АБДУЛЛИНА ЗАБРАЛИ РЕСПУБЛИКУ 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Бросив горсть комплиментов, Рустам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Минниханов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тут же перешел к изучению «болячек» на теле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стройкомплекса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. На фоне многочисленных резонансных совещаний, проходивших в конце года и посвященных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соципотечному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строительству, как и следовало ожидать, как первая болевая точка было обозначен провал плана по вводу социального жилья в Татарстане в 2010 году. Президент также намекнул, что сегодня </w:t>
            </w:r>
            <w:proofErr w:type="gram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виноватых</w:t>
            </w:r>
            <w:proofErr w:type="gram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искать не будет.  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«Проблемы были в нестыковке служб, несогласованности действий между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Госжилфондом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, муниципалитетами, Минстроем и некоторыми подрядчиками. Причина этого в том, что размыта ответственность. В этом году будут заключены соглашения между сторонами, которые определят область ответственности. Так, согласно этой схеме, ответственным за ввод социального жилья в Казани станет УКС города, а в Татарстане – ГИСУ (Главное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инвестиционно-строительное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управление). Министр попросил неделю времени, чтобы завершить этот процесс», - заявил президент.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Напомним, что ранее в схеме оператором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соципотечного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жилья в Казани было определено ОАО «ЖИК г. Казани» - компания городской администрации, а за оставшийся блок в республике отвечали муниципалитеты вместе с ГЖФ. В этом смысле заявление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Минниханова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можно рассматривать как революционное. 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Кстати, президент заявил, что «будем брать реальные цифры по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соципотеке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».  Однако при этом в 2011 году будет предпринята попытка установить новый жилищный рекорд по вводу жилья в целом, сдав 2,3 млн. кв.м. жилья (для сравнения: в 2010 г. сдано 2,024 млн. кв.м.)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Вынес президент и приговор нерадивым подрядчикам: «При выборе подрядных организаций не давать госзаказ компаниям, имеющим недостойную репутацию. И даже если они создадут фирмы под новым названием», - сказал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Минниханов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ОКНА, ДВЕРИ И ЛИФТЫ 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Далее президент вновь вспомнил памятные совещания прошлого года и задался вопросом, на который у </w:t>
            </w:r>
            <w:proofErr w:type="gram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сидящих</w:t>
            </w:r>
            <w:proofErr w:type="gram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в зале не оказалось ответа.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«Вот наступил январь, и мы вновь вводим дома. Летом мы обсуждаем, разговариваем, отдыхаем, строители у нас </w:t>
            </w:r>
            <w:proofErr w:type="gram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оказывается</w:t>
            </w:r>
            <w:proofErr w:type="gram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устают. Зимой мы включаем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теплогенераторы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калориферы и начинаем отделку. Благоустройство начинаем в октябре-ноябре</w:t>
            </w:r>
            <w:proofErr w:type="gram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… С</w:t>
            </w:r>
            <w:proofErr w:type="gram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кажите, может в этом нужна моя помощь?» - задался президентом вопросом. Но он оказался риторическим…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И, несмотря на то, что виновных президент обещал не называть, он все же вспомнил истории со сбоями по комплектации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соципотечных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домов оконными рамами, лифтами и претензии к качеству китайских дверей. «У нас были сбои. Это больше не должно повториться», - произнес президент, повернувшись при этом в сторону сидящего в зале главы ГЖФ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Талгата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Абдуллина.  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2 МЛРД. НА ДЕТСАДЫ 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lastRenderedPageBreak/>
              <w:t xml:space="preserve">Кстати, на коллегии президент поручил Абдуллину заложить в проекты строящихся домов по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соципотеки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возможность размещения на первых этажах детских садов. «Пусть стоимость кв.м. вырастит, но </w:t>
            </w:r>
            <w:proofErr w:type="gram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это</w:t>
            </w:r>
            <w:proofErr w:type="gram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же всем удобно. Спустился - и оставил ребенка в садике», - высказался глава республики.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Вообще, открытие новых детсадов в республике, по словам президента -  это один из приоритетов. «Мы в первую очередь сосредоточимся на обеспечении местами детей с 3 до 6 лет. Казань, сколько у нас очередников? 6,5 тыс. детей», - резюмировал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Минниханов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 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Всего, по данным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минстроя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РТ, в 2011 году на строительство дошкольных образовательных учреждений (ДОУ) на 8680 мест  должно быть выделено 2 млрд. рублей. Также президент поручил вернуть часть детсадов, которые используются не по  назначению.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ОДНОЙ «СВЯЩЕННОЙ КОРОВОЙ» МЕНЬШЕ? 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Проектным организациям (а именно - снижению стоимости проектных работ) президент впервые посвятил отдельный блок. С одной стороны, это можно объяснить попыткой следовать тренду, заданному </w:t>
            </w: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Владимиром Путиным</w:t>
            </w: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который подразумевает борьбу с издержками и уменьшение себестоимости строительных работ. Но с другой стороны, в поле критики татарстанские проектировщики до сих пор не попадали. Возможно, ввиду того, что крупнейший проектный институт не только РТ, но РФ «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Татинвестгражданпроект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» (ранее его возглавлял новый министр строительства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Ирек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Файзуллин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) выполнял проектные работы по подавляющему числу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гособъектов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и на 100% принадлежит татарстанскому</w:t>
            </w: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hyperlink r:id="rId6" w:history="1">
              <w:proofErr w:type="spellStart"/>
              <w:r w:rsidRPr="002E27C8">
                <w:rPr>
                  <w:rFonts w:ascii="Tahoma" w:eastAsia="Times New Roman" w:hAnsi="Tahoma" w:cs="Tahoma"/>
                  <w:b/>
                  <w:bCs/>
                  <w:color w:val="AC2501"/>
                  <w:sz w:val="22"/>
                  <w:u w:val="single"/>
                  <w:lang w:eastAsia="ru-RU"/>
                </w:rPr>
                <w:t>минзему</w:t>
              </w:r>
              <w:proofErr w:type="spellEnd"/>
            </w:hyperlink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 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«Понятно, что проектные организации заинтересованы, чтобы проект был дорогим. Поэтому нужно принять на уровне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кабмина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жесткую нормативную стоимость одного ученического места, места в спортивном объекте или детском садике. То же самое по дорожному строительству, – заявил президент и обратился к главе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миндортранса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. – Я уже говорил,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Ленар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что не можем мы строить межпоселковые дороги 4-й категории. Так у нас никогда не будет дорог!»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ВОЙНА НА СТРОЙКЕ 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Далее президент озвучил страшные цифры смертности на татарстанских стройках. «У нас плохо дела обстоят дела с техникой безопасности, нарушается технология строительства. Зафиксировано 256 несчастных случаев. Погибло 86 строителей. Это же не  война! Это бардак. Обращаюсь к министру: каждый случай должен быть изучен и проанализирован!» - сказал президент.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Завершающим в коллегии стали вопросы участия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минстроя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РТ в федеральных программах и тема ЖКХ. Причем, президент призвал сосредоточиться на поддержке малого бизнеса в сфере коммунального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хоязйства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«Тимур, у нас раздают по 10 млн. по программе «Лизинг-грант» черт знает кому. У нас огромный жилищный фонд. Нужно сделать отдельную программу по поддержке управляющих или сервисных компаний, - обратился Рустам </w:t>
            </w:r>
            <w:proofErr w:type="spellStart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Минниханов</w:t>
            </w:r>
            <w:proofErr w:type="spellEnd"/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к руководителю комитета РТ по поддержке малого и среднего предпринимательства </w:t>
            </w:r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Тимуру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Шагивалееву</w:t>
            </w:r>
            <w:proofErr w:type="spellEnd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.</w:t>
            </w: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- Кто будет чистить улицы в пригородных поселках? А кто мешает дать грант предпринимателю? Пусть </w:t>
            </w:r>
            <w:r w:rsidRPr="002E27C8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lastRenderedPageBreak/>
              <w:t>возьмет трактор МТЗ, который у нас делают, и дать ему работать».</w:t>
            </w:r>
          </w:p>
          <w:p w:rsidR="002E27C8" w:rsidRPr="002E27C8" w:rsidRDefault="002E27C8" w:rsidP="002E27C8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Арслан</w:t>
            </w:r>
            <w:proofErr w:type="spellEnd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E27C8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Минвалеев</w:t>
            </w:r>
            <w:proofErr w:type="spellEnd"/>
          </w:p>
        </w:tc>
      </w:tr>
    </w:tbl>
    <w:p w:rsidR="009C12C3" w:rsidRDefault="009C12C3"/>
    <w:sectPr w:rsidR="009C12C3" w:rsidSect="009C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E27C8"/>
    <w:rsid w:val="002E27C8"/>
    <w:rsid w:val="009C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C3"/>
  </w:style>
  <w:style w:type="paragraph" w:styleId="1">
    <w:name w:val="heading 1"/>
    <w:basedOn w:val="a"/>
    <w:link w:val="10"/>
    <w:uiPriority w:val="9"/>
    <w:qFormat/>
    <w:rsid w:val="002E27C8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AA2419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7C8"/>
    <w:rPr>
      <w:rFonts w:ascii="Tahoma" w:eastAsia="Times New Roman" w:hAnsi="Tahoma" w:cs="Tahoma"/>
      <w:b/>
      <w:bCs/>
      <w:color w:val="AA2419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2E27C8"/>
    <w:rPr>
      <w:rFonts w:ascii="Tahoma" w:hAnsi="Tahoma" w:cs="Tahoma" w:hint="default"/>
      <w:color w:val="AC2501"/>
      <w:sz w:val="22"/>
      <w:szCs w:val="22"/>
      <w:u w:val="single"/>
    </w:rPr>
  </w:style>
  <w:style w:type="paragraph" w:styleId="a4">
    <w:name w:val="Normal (Web)"/>
    <w:basedOn w:val="a"/>
    <w:uiPriority w:val="99"/>
    <w:unhideWhenUsed/>
    <w:rsid w:val="002E27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2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iness-gazeta.ru/article/33833/447/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PropertyBag">
  <ax:ocxPr ax:name="_cx" ax:value="5292"/>
  <ax:ocxPr ax:name="_cy" ax:value="7938"/>
  <ax:ocxPr ax:name="FlashVars" ax:value=""/>
  <ax:ocxPr ax:name="Movie" ax:value="/partners/479.swf"/>
  <ax:ocxPr ax:name="Src" ax:value="/partners/479.swf"/>
  <ax:ocxPr ax:name="WMode" ax:value="Opaque"/>
  <ax:ocxPr ax:name="Play" ax:value="0"/>
  <ax:ocxPr ax:name="Loop" ax:value="-1"/>
  <ax:ocxPr ax:name="Quality" ax:value="High"/>
  <ax:ocxPr ax:name="SAlign" ax:value=""/>
  <ax:ocxPr ax:name="Menu" ax:value="-1"/>
  <ax:ocxPr ax:name="Base" ax:value=""/>
  <ax:ocxPr ax:name="AllowScriptAccess" ax:value="always"/>
  <ax:ocxPr ax:name="Scale" ax:value="ShowAll"/>
  <ax:ocxPr ax:name="DeviceFont" ax:value="0"/>
  <ax:ocxPr ax:name="EmbedMovie" ax:value="0"/>
  <ax:ocxPr ax:name="BGColor" ax:value=""/>
  <ax:ocxPr ax:name="SWRemote" ax:value="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6927</Characters>
  <Application>Microsoft Office Word</Application>
  <DocSecurity>0</DocSecurity>
  <Lines>57</Lines>
  <Paragraphs>16</Paragraphs>
  <ScaleCrop>false</ScaleCrop>
  <Company>IGSN RT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2011-01-17T08:40:00Z</dcterms:created>
  <dcterms:modified xsi:type="dcterms:W3CDTF">2011-01-17T08:41:00Z</dcterms:modified>
</cp:coreProperties>
</file>