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000000">
        <w:trPr>
          <w:tblCellSpacing w:w="15" w:type="dxa"/>
        </w:trPr>
        <w:tc>
          <w:tcPr>
            <w:tcW w:w="2500" w:type="pct"/>
            <w:tcMar>
              <w:top w:w="1134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1246B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00" w:type="pct"/>
            <w:tcMar>
              <w:top w:w="1134" w:type="dxa"/>
              <w:left w:w="284" w:type="dxa"/>
              <w:bottom w:w="0" w:type="dxa"/>
              <w:right w:w="0" w:type="dxa"/>
            </w:tcMar>
            <w:vAlign w:val="center"/>
            <w:hideMark/>
          </w:tcPr>
          <w:p w:rsidR="00000000" w:rsidRDefault="0091246B">
            <w:pPr>
              <w:jc w:val="center"/>
              <w:outlineLvl w:val="3"/>
              <w:rPr>
                <w:rFonts w:eastAsia="Times New Roman"/>
                <w:caps/>
                <w:sz w:val="28"/>
                <w:szCs w:val="28"/>
              </w:rPr>
            </w:pPr>
            <w:r>
              <w:rPr>
                <w:rFonts w:eastAsia="Times New Roman"/>
                <w:caps/>
                <w:sz w:val="28"/>
                <w:szCs w:val="28"/>
              </w:rPr>
              <w:t>Утверждаю</w:t>
            </w:r>
          </w:p>
          <w:p w:rsidR="00000000" w:rsidRDefault="0091246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Председатель Комиссии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по координации работы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по противодействию коррупции </w:t>
            </w:r>
            <w:r>
              <w:rPr>
                <w:rFonts w:eastAsia="Times New Roman"/>
                <w:sz w:val="28"/>
                <w:szCs w:val="28"/>
              </w:rPr>
              <w:br/>
              <w:t>в Республике Татарстан,</w:t>
            </w:r>
            <w:r>
              <w:rPr>
                <w:rFonts w:eastAsia="Times New Roman"/>
                <w:sz w:val="28"/>
                <w:szCs w:val="28"/>
              </w:rPr>
              <w:br/>
              <w:t>Президент Республики Татарстан</w:t>
            </w:r>
          </w:p>
          <w:p w:rsidR="00000000" w:rsidRDefault="0091246B">
            <w:pPr>
              <w:spacing w:after="280"/>
              <w:rPr>
                <w:rFonts w:eastAsia="Times New Roman"/>
                <w:sz w:val="28"/>
                <w:szCs w:val="28"/>
              </w:rPr>
            </w:pPr>
          </w:p>
          <w:p w:rsidR="00000000" w:rsidRDefault="0091246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_____________ Р.Н. Минниханов</w:t>
            </w:r>
          </w:p>
          <w:p w:rsidR="00000000" w:rsidRDefault="0091246B">
            <w:pPr>
              <w:rPr>
                <w:rFonts w:eastAsia="Times New Roman"/>
                <w:sz w:val="28"/>
                <w:szCs w:val="28"/>
              </w:rPr>
            </w:pPr>
          </w:p>
          <w:p w:rsidR="00000000" w:rsidRDefault="0091246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«_____»_________________2020 г.</w:t>
            </w:r>
          </w:p>
        </w:tc>
      </w:tr>
    </w:tbl>
    <w:p w:rsidR="00000000" w:rsidRDefault="0091246B">
      <w:pPr>
        <w:rPr>
          <w:rFonts w:eastAsia="Times New Roman"/>
          <w:color w:val="000000"/>
          <w:sz w:val="28"/>
          <w:szCs w:val="28"/>
        </w:rPr>
      </w:pPr>
    </w:p>
    <w:p w:rsidR="00000000" w:rsidRDefault="0091246B">
      <w:pPr>
        <w:rPr>
          <w:color w:val="000000"/>
          <w:sz w:val="28"/>
          <w:szCs w:val="28"/>
        </w:rPr>
      </w:pPr>
    </w:p>
    <w:p w:rsidR="00000000" w:rsidRDefault="0091246B">
      <w:pPr>
        <w:rPr>
          <w:color w:val="000000"/>
          <w:sz w:val="28"/>
          <w:szCs w:val="28"/>
        </w:rPr>
      </w:pPr>
    </w:p>
    <w:p w:rsidR="00000000" w:rsidRDefault="0091246B">
      <w:pPr>
        <w:jc w:val="center"/>
        <w:outlineLvl w:val="3"/>
        <w:rPr>
          <w:rFonts w:eastAsia="Times New Roman"/>
          <w:caps/>
          <w:color w:val="000000"/>
          <w:sz w:val="28"/>
          <w:szCs w:val="28"/>
        </w:rPr>
      </w:pPr>
      <w:r>
        <w:rPr>
          <w:rFonts w:eastAsia="Times New Roman"/>
          <w:caps/>
          <w:color w:val="000000"/>
          <w:sz w:val="28"/>
          <w:szCs w:val="28"/>
        </w:rPr>
        <w:t>Протокол</w:t>
      </w:r>
    </w:p>
    <w:p w:rsidR="00000000" w:rsidRDefault="0091246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заседания Комиссии по координации работы по противодействию коррупции</w:t>
      </w:r>
    </w:p>
    <w:p w:rsidR="00000000" w:rsidRDefault="0091246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Республике Татарстан</w:t>
      </w:r>
    </w:p>
    <w:p w:rsidR="00000000" w:rsidRDefault="0091246B">
      <w:pPr>
        <w:spacing w:after="280"/>
        <w:rPr>
          <w:rFonts w:eastAsia="Times New Roman"/>
          <w:color w:val="000000"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2"/>
        <w:gridCol w:w="3383"/>
      </w:tblGrid>
      <w:tr w:rsidR="00000000">
        <w:trPr>
          <w:tblCellSpacing w:w="15" w:type="dxa"/>
        </w:trPr>
        <w:tc>
          <w:tcPr>
            <w:tcW w:w="3350" w:type="pct"/>
            <w:vAlign w:val="bottom"/>
            <w:hideMark/>
          </w:tcPr>
          <w:p w:rsidR="00000000" w:rsidRDefault="0091246B">
            <w:pPr>
              <w:pStyle w:val="alignleft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Казань </w:t>
            </w:r>
          </w:p>
        </w:tc>
        <w:tc>
          <w:tcPr>
            <w:tcW w:w="2500" w:type="pct"/>
            <w:vAlign w:val="bottom"/>
            <w:hideMark/>
          </w:tcPr>
          <w:p w:rsidR="00000000" w:rsidRDefault="0091246B">
            <w:pPr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29.06.2020</w:t>
            </w:r>
          </w:p>
        </w:tc>
      </w:tr>
    </w:tbl>
    <w:p w:rsidR="00000000" w:rsidRDefault="0091246B">
      <w:pPr>
        <w:rPr>
          <w:color w:val="000000"/>
          <w:sz w:val="28"/>
          <w:szCs w:val="28"/>
        </w:rPr>
      </w:pPr>
    </w:p>
    <w:p w:rsidR="00000000" w:rsidRDefault="0091246B">
      <w:pPr>
        <w:pStyle w:val="aligncenter1"/>
        <w:ind w:firstLine="709"/>
        <w:divId w:val="17129991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работе по противодействию коррупции и задачах по повышению эффективности деятельности органов государственной власти Республики Татар</w:t>
      </w:r>
      <w:r>
        <w:rPr>
          <w:color w:val="000000"/>
          <w:sz w:val="28"/>
          <w:szCs w:val="28"/>
        </w:rPr>
        <w:t>стан и органов местного самоуправления в Республике Татарстан по профилактике коррупционных и иных правонарушений</w:t>
      </w:r>
      <w:r>
        <w:rPr>
          <w:rStyle w:val="a8"/>
          <w:color w:val="000000"/>
          <w:sz w:val="28"/>
          <w:szCs w:val="28"/>
        </w:rPr>
        <w:t xml:space="preserve"> </w:t>
      </w:r>
    </w:p>
    <w:p w:rsidR="00000000" w:rsidRDefault="0091246B">
      <w:pPr>
        <w:pStyle w:val="aligncenter1"/>
        <w:ind w:firstLine="709"/>
        <w:divId w:val="17129991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000000" w:rsidRDefault="0091246B">
      <w:pPr>
        <w:pStyle w:val="aligncenter1"/>
        <w:ind w:firstLine="709"/>
        <w:divId w:val="17129991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(М.С. Бадрутдинов, А.В. Песошин, А.И. Демидов, А.В. Шадриков, Ф.М. </w:t>
      </w:r>
      <w:r>
        <w:rPr>
          <w:color w:val="000000"/>
          <w:sz w:val="28"/>
          <w:szCs w:val="28"/>
        </w:rPr>
        <w:t>Ханифов, М.Г. Зиатдинов, М.Р. Гафаров)</w:t>
      </w:r>
    </w:p>
    <w:p w:rsidR="00000000" w:rsidRDefault="0091246B">
      <w:pPr>
        <w:rPr>
          <w:rFonts w:eastAsia="Times New Roman"/>
          <w:color w:val="000000"/>
          <w:sz w:val="28"/>
          <w:szCs w:val="28"/>
        </w:rPr>
      </w:pPr>
    </w:p>
    <w:p w:rsidR="00000000" w:rsidRDefault="0091246B">
      <w:pPr>
        <w:pStyle w:val="alignjustify1"/>
        <w:ind w:firstLine="709"/>
        <w:divId w:val="7511977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Заслушав доклады выступающих, Комиссия по координации работы по противодействию коррупции в Республике Татарстан (далее – Комиссия) отмечает следующее.</w:t>
      </w:r>
    </w:p>
    <w:p w:rsidR="00000000" w:rsidRDefault="0091246B">
      <w:pPr>
        <w:pStyle w:val="alignjustify1"/>
        <w:ind w:firstLine="709"/>
        <w:divId w:val="7511977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Коррупция продолжает оставаться отрицательным явлением, оказыва</w:t>
      </w:r>
      <w:r>
        <w:rPr>
          <w:color w:val="000000"/>
          <w:sz w:val="28"/>
          <w:szCs w:val="28"/>
        </w:rPr>
        <w:t>ющим прямое негативное влияние на развитие экономики, взаимоотношения между властью и обществом. Проявления коррупции, в том числе при реализации национальных проектов и государственных программ, наносят ущерб безопасности страны и способны дестабилизирова</w:t>
      </w:r>
      <w:r>
        <w:rPr>
          <w:color w:val="000000"/>
          <w:sz w:val="28"/>
          <w:szCs w:val="28"/>
        </w:rPr>
        <w:t>ть экономические и политические основы жизнедеятельности государства.</w:t>
      </w:r>
    </w:p>
    <w:p w:rsidR="00000000" w:rsidRDefault="0091246B">
      <w:pPr>
        <w:pStyle w:val="alignjustify1"/>
        <w:ind w:firstLine="709"/>
        <w:divId w:val="7511977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Одним из условий успешного развития Республики Татарстан является эффективная реализация национальных проектов и республиканских программ, которая должна способствовать качественным изме</w:t>
      </w:r>
      <w:r>
        <w:rPr>
          <w:color w:val="000000"/>
          <w:sz w:val="28"/>
          <w:szCs w:val="28"/>
        </w:rPr>
        <w:t xml:space="preserve">нениям жизни населения республики. Общий объем финансирования мероприятий по реализации национальных проектов в Республике Татарстан в 2019 году составил 19,6 млрд рублей, на 2020 год на указанные цели планируется направить 26,4 млрд рублей в </w:t>
      </w:r>
      <w:r>
        <w:rPr>
          <w:color w:val="000000"/>
          <w:sz w:val="28"/>
          <w:szCs w:val="28"/>
        </w:rPr>
        <w:lastRenderedPageBreak/>
        <w:t>рамках реализ</w:t>
      </w:r>
      <w:r>
        <w:rPr>
          <w:color w:val="000000"/>
          <w:sz w:val="28"/>
          <w:szCs w:val="28"/>
        </w:rPr>
        <w:t>ации 50 республиканских программ. Эффективное использование этих средств невозможно без минимизации коррупционных рисков.</w:t>
      </w:r>
    </w:p>
    <w:p w:rsidR="00000000" w:rsidRDefault="0091246B">
      <w:pPr>
        <w:pStyle w:val="alignjustify1"/>
        <w:ind w:firstLine="709"/>
        <w:divId w:val="7511977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органов государственной власти и местного самоуправления должна быть сосредоточена на усилении антикоррупционного контрол</w:t>
      </w:r>
      <w:r>
        <w:rPr>
          <w:color w:val="000000"/>
          <w:sz w:val="28"/>
          <w:szCs w:val="28"/>
        </w:rPr>
        <w:t>я в сфере реализации национальных проектов и республиканских программ для обеспечения эффективности вложенных бюджетных средств и достижения целей, на которые направлены указанные проекты и программы.</w:t>
      </w:r>
    </w:p>
    <w:p w:rsidR="00000000" w:rsidRDefault="0091246B">
      <w:pPr>
        <w:pStyle w:val="alignjustify1"/>
        <w:ind w:firstLine="709"/>
        <w:divId w:val="7511977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Особое место в вопросах противодействия коррупции в Нац</w:t>
      </w:r>
      <w:r>
        <w:rPr>
          <w:color w:val="000000"/>
          <w:sz w:val="28"/>
          <w:szCs w:val="28"/>
        </w:rPr>
        <w:t>иональном плане противодействия коррупции на 2018–2020 годы отведено задачам антикоррупционного просвещения и обучения. В рамках реализации указанных задач в Республике Татарстан за предыдущий год во взаимодействии с общественными организациями проведено б</w:t>
      </w:r>
      <w:r>
        <w:rPr>
          <w:color w:val="000000"/>
          <w:sz w:val="28"/>
          <w:szCs w:val="28"/>
        </w:rPr>
        <w:t>олее 50 мероприятий антикоррупционной направленности с общим охватом более 11 000 человек, обеспечен выпуск более 30 просветительских передач для населения и брифингов на телеканалах «ТНВ», «Татарстан 24», ГТРК «Татарстан», в ИА «Татар-информ», 5 500 матер</w:t>
      </w:r>
      <w:r>
        <w:rPr>
          <w:color w:val="000000"/>
          <w:sz w:val="28"/>
          <w:szCs w:val="28"/>
        </w:rPr>
        <w:t>иалов в других средствах массовой информации.</w:t>
      </w:r>
    </w:p>
    <w:p w:rsidR="00000000" w:rsidRDefault="0091246B">
      <w:pPr>
        <w:pStyle w:val="alignjustify1"/>
        <w:ind w:firstLine="709"/>
        <w:divId w:val="7511977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2019 году повышение квалификации прошли 2 515 служащих (1 046 государственных гражданских и 1 469 муниципальных). Кроме того, 146 должностных лиц, в обязанности которых входит профилактика коррупционных право</w:t>
      </w:r>
      <w:r>
        <w:rPr>
          <w:color w:val="000000"/>
          <w:sz w:val="28"/>
          <w:szCs w:val="28"/>
        </w:rPr>
        <w:t>нарушений, прошли курсы повышения квалификации по программе «Антикоррупционная политика».</w:t>
      </w:r>
    </w:p>
    <w:p w:rsidR="00000000" w:rsidRDefault="0091246B">
      <w:pPr>
        <w:pStyle w:val="alignjustify1"/>
        <w:ind w:firstLine="709"/>
        <w:divId w:val="7511977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Организованы и проведены VI Республиканский молодежный антикоррупционный форум, IX Всероссийская научно-практическая конференция «Диалектика противодействия коррупции</w:t>
      </w:r>
      <w:r>
        <w:rPr>
          <w:color w:val="000000"/>
          <w:sz w:val="28"/>
          <w:szCs w:val="28"/>
        </w:rPr>
        <w:t>», III Совет молодежных общественных организаций и объединений Республики Татарстан в сфере противодействия коррупции.</w:t>
      </w:r>
    </w:p>
    <w:p w:rsidR="00000000" w:rsidRDefault="0091246B">
      <w:pPr>
        <w:pStyle w:val="alignjustify1"/>
        <w:ind w:firstLine="709"/>
        <w:divId w:val="7511977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повышения прозрачности деятельности должностных лиц, своевременного выявления и предотвращения фактов коррупционных правонарушени</w:t>
      </w:r>
      <w:r>
        <w:rPr>
          <w:color w:val="000000"/>
          <w:sz w:val="28"/>
          <w:szCs w:val="28"/>
        </w:rPr>
        <w:t>й ответственными лицами по профилактике коррупционных и иных правонарушений проведен анализ сведений о доходах, представленных лицами, замещающими государственные и муниципальные должности, государственными и муниципальными служащими (далее – справка, свед</w:t>
      </w:r>
      <w:r>
        <w:rPr>
          <w:color w:val="000000"/>
          <w:sz w:val="28"/>
          <w:szCs w:val="28"/>
        </w:rPr>
        <w:t>ения о доходах).</w:t>
      </w:r>
    </w:p>
    <w:p w:rsidR="00000000" w:rsidRDefault="0091246B">
      <w:pPr>
        <w:pStyle w:val="alignjustify1"/>
        <w:ind w:firstLine="709"/>
        <w:divId w:val="7511977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 анализ 3 258 справок, представленных в 2019 году в органы государственной власти, и 10 012 справок – в органы местного самоуправления. Проведены 141 проверка достоверности и полноты представленных государственными гражданскими слу</w:t>
      </w:r>
      <w:r>
        <w:rPr>
          <w:color w:val="000000"/>
          <w:sz w:val="28"/>
          <w:szCs w:val="28"/>
        </w:rPr>
        <w:t>жащими сведений о доходах и 346 проверок представленных муниципальными служащими сведений, по итогам которых к дисциплинарной ответственности привлечены 196 человек. За несоблюдение установленных требований о предотвращении или урегулировании конфликта инт</w:t>
      </w:r>
      <w:r>
        <w:rPr>
          <w:color w:val="000000"/>
          <w:sz w:val="28"/>
          <w:szCs w:val="28"/>
        </w:rPr>
        <w:t>ересов к ответственности привлечены 11 служащих.</w:t>
      </w:r>
    </w:p>
    <w:p w:rsidR="00000000" w:rsidRDefault="0091246B">
      <w:pPr>
        <w:pStyle w:val="alignjustify1"/>
        <w:ind w:firstLine="709"/>
        <w:divId w:val="7511977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Реализуемые в республике меры антикоррупционной политики положительно воспринимаются населением, что подтверждается результатами социологического исследования, проведенного Комитетом Республики Татарстан по </w:t>
      </w:r>
      <w:r>
        <w:rPr>
          <w:color w:val="000000"/>
          <w:sz w:val="28"/>
          <w:szCs w:val="28"/>
        </w:rPr>
        <w:t>социально-экономическому мониторингу. Стабильно низкой (8,5 %) остается доля опрошенных жителей республики заявивших о попадании в коррупционную ситуацию за последний год. Большинство опрошенных (более 76 %) считает, что проводимые государством антикоррупц</w:t>
      </w:r>
      <w:r>
        <w:rPr>
          <w:color w:val="000000"/>
          <w:sz w:val="28"/>
          <w:szCs w:val="28"/>
        </w:rPr>
        <w:t>ионные мероприятия способны снизить уровень коррупции.</w:t>
      </w:r>
    </w:p>
    <w:p w:rsidR="00000000" w:rsidRDefault="0091246B">
      <w:pPr>
        <w:pStyle w:val="alignjustify1"/>
        <w:ind w:firstLine="709"/>
        <w:divId w:val="7511977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Вместе с тем, несмотря на комплекс мер по предупреждению коррупционных правонарушений, за предыдущий год органами внутренних дел выявлено 873 преступления коррупционной направленности, повлекшие ущерб </w:t>
      </w:r>
      <w:r>
        <w:rPr>
          <w:color w:val="000000"/>
          <w:sz w:val="28"/>
          <w:szCs w:val="28"/>
        </w:rPr>
        <w:t>на общую сумму 690 млн рублей, из которых в бюджет возвращено 276 млн рублей.</w:t>
      </w:r>
    </w:p>
    <w:p w:rsidR="00000000" w:rsidRDefault="0091246B">
      <w:pPr>
        <w:pStyle w:val="alignjustify1"/>
        <w:ind w:firstLine="709"/>
        <w:divId w:val="7511977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Прокуратурой Республики Татарстан и районными прокурорами выявлено 3 226 нарушений законодательства о противодействии коррупции. С целью устранения выявленных нарушений внесено 7</w:t>
      </w:r>
      <w:r>
        <w:rPr>
          <w:color w:val="000000"/>
          <w:sz w:val="28"/>
          <w:szCs w:val="28"/>
        </w:rPr>
        <w:t>90 протестов на незаконные правовые акты, в суды направлено 17 заявлений, внесено 900 представлений, к административной ответственности привлечено 70 должностных лиц.</w:t>
      </w:r>
    </w:p>
    <w:p w:rsidR="00000000" w:rsidRDefault="0091246B">
      <w:pPr>
        <w:pStyle w:val="alignjustify1"/>
        <w:ind w:firstLine="709"/>
        <w:divId w:val="7511977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Принятие своевременных упреждающих мер по профилактике коррупционных правонарушений в раз</w:t>
      </w:r>
      <w:r>
        <w:rPr>
          <w:color w:val="000000"/>
          <w:sz w:val="28"/>
          <w:szCs w:val="28"/>
        </w:rPr>
        <w:t>ных сферах экономической деятельности является частью государственной политики, реализуемой в Республике Татарстан. Указанная работа строится по нескольким направлениям, среди которых можно отметить выездную работу в составе комиссий Республиканской экспер</w:t>
      </w:r>
      <w:r>
        <w:rPr>
          <w:color w:val="000000"/>
          <w:sz w:val="28"/>
          <w:szCs w:val="28"/>
        </w:rPr>
        <w:t>тной группы по вопросам противодействия коррупции (далее – комиссии РЭГ).</w:t>
      </w:r>
    </w:p>
    <w:p w:rsidR="00000000" w:rsidRDefault="0091246B">
      <w:pPr>
        <w:pStyle w:val="alignjustify1"/>
        <w:ind w:firstLine="709"/>
        <w:divId w:val="7511977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2019 году и в первом полугодии 2020 года практическая помощь в организации работы была оказана Верхнеуслонскому, Дрожжановскому, Тетюшскому и Ютазинскому муниципальным районам, Мин</w:t>
      </w:r>
      <w:r>
        <w:rPr>
          <w:color w:val="000000"/>
          <w:sz w:val="28"/>
          <w:szCs w:val="28"/>
        </w:rPr>
        <w:t xml:space="preserve">истерству экологии и природных ресурсов Республики Татарстан и Министерству цифрового развития государственного управления, информационных технологий и связи Республики Татарстан. Результаты изучения показали, что коррупционные риски имеются практически в </w:t>
      </w:r>
      <w:r>
        <w:rPr>
          <w:color w:val="000000"/>
          <w:sz w:val="28"/>
          <w:szCs w:val="28"/>
        </w:rPr>
        <w:t>каждом направлении управленческой и экономической деятельности.</w:t>
      </w:r>
    </w:p>
    <w:p w:rsidR="00000000" w:rsidRDefault="0091246B">
      <w:pPr>
        <w:pStyle w:val="alignjustify1"/>
        <w:ind w:firstLine="709"/>
        <w:divId w:val="7511977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Так, в Дрожжановском муниципальном районе Республики Татарстан коррупционные риски были выявлены в части обучения и получения стипендий студентами техникума отраслевых технологий, не посещавши</w:t>
      </w:r>
      <w:r>
        <w:rPr>
          <w:color w:val="000000"/>
          <w:sz w:val="28"/>
          <w:szCs w:val="28"/>
        </w:rPr>
        <w:t>ми занятия, а также в части требования в учреждениях здравоохранения оплаты за бесплатную медицинскую помощь, в части использования и ремонта служебных автомашин с нарушением установленных правил.</w:t>
      </w:r>
    </w:p>
    <w:p w:rsidR="00000000" w:rsidRDefault="0091246B">
      <w:pPr>
        <w:pStyle w:val="alignjustify1"/>
        <w:ind w:firstLine="709"/>
        <w:divId w:val="7511977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итогам работы комиссий РЭГ к дисциплинарной ответственно</w:t>
      </w:r>
      <w:r>
        <w:rPr>
          <w:color w:val="000000"/>
          <w:sz w:val="28"/>
          <w:szCs w:val="28"/>
        </w:rPr>
        <w:t>сти за совершение нарушений, способствующих возникновению коррупционных рисков, привлечено 55 должностных лиц, предотвращены бюджетные потери на общую сумму более 189 млн рублей. Результаты работы комиссий РЭГ подтверждают необходимость применения комплекс</w:t>
      </w:r>
      <w:r>
        <w:rPr>
          <w:color w:val="000000"/>
          <w:sz w:val="28"/>
          <w:szCs w:val="28"/>
        </w:rPr>
        <w:t>ных подходов к реализации мер антикоррупционной политики.</w:t>
      </w:r>
    </w:p>
    <w:p w:rsidR="00000000" w:rsidRDefault="0091246B">
      <w:pPr>
        <w:pStyle w:val="alignjustify1"/>
        <w:ind w:firstLine="709"/>
        <w:divId w:val="7511977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Кроме того, по поручениям Президента Республики Татарстан Р.Н. Минниханова проведен мониторинг более 40 направлений экономической деятельности, по каждому из которых были предложены конкретные меры </w:t>
      </w:r>
      <w:r>
        <w:rPr>
          <w:color w:val="000000"/>
          <w:sz w:val="28"/>
          <w:szCs w:val="28"/>
        </w:rPr>
        <w:t>для минимизации последствий коррупционных правонарушений.</w:t>
      </w:r>
    </w:p>
    <w:p w:rsidR="00000000" w:rsidRDefault="0091246B">
      <w:pPr>
        <w:pStyle w:val="alignjustify1"/>
        <w:ind w:firstLine="709"/>
        <w:divId w:val="7511977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Так, в ходе проведенного мониторинга были выявлены коррупционные риски в экономической деятельности «Добыча полезных ископаемых». Это – отсутствие контроля за добычей полезных ископаемых со стороны </w:t>
      </w:r>
      <w:r>
        <w:rPr>
          <w:color w:val="000000"/>
          <w:sz w:val="28"/>
          <w:szCs w:val="28"/>
        </w:rPr>
        <w:t>уполномоченных органов государственной власти; незаконная разработка недр на участках сельскохозяйственного назначения; отсутствие рекультивации земель, подтвержденной актом приемки; занижение недропользователями размера налога на добычу полезных ископаемы</w:t>
      </w:r>
      <w:r>
        <w:rPr>
          <w:color w:val="000000"/>
          <w:sz w:val="28"/>
          <w:szCs w:val="28"/>
        </w:rPr>
        <w:t>х и т.д.</w:t>
      </w:r>
    </w:p>
    <w:p w:rsidR="00000000" w:rsidRDefault="0091246B">
      <w:pPr>
        <w:pStyle w:val="alignjustify1"/>
        <w:ind w:firstLine="709"/>
        <w:divId w:val="7511977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Отказы от получения лицензии и уплаты разовых платежей победителями аукционов на пользование недрами приводят к необходимости затрачивать время на проведение повторных аукционов. В результате сумма средств, недополученных бюджетом Республики Татар</w:t>
      </w:r>
      <w:r>
        <w:rPr>
          <w:color w:val="000000"/>
          <w:sz w:val="28"/>
          <w:szCs w:val="28"/>
        </w:rPr>
        <w:t>стан с 2012 года, составила 784 млн рублей.</w:t>
      </w:r>
    </w:p>
    <w:p w:rsidR="00000000" w:rsidRDefault="0091246B">
      <w:pPr>
        <w:pStyle w:val="alignjustify1"/>
        <w:ind w:firstLine="709"/>
        <w:divId w:val="7511977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Помимо финансовых потерь ущерб от правонарушений в сфере недропользования наносится и окружающей среде. Выявлены земельные участки, на которых после разработки карьеров не была проведена рекультивация, что привел</w:t>
      </w:r>
      <w:r>
        <w:rPr>
          <w:color w:val="000000"/>
          <w:sz w:val="28"/>
          <w:szCs w:val="28"/>
        </w:rPr>
        <w:t>о к образованию несанкционированных свалок отходов, наносящих вред грунтовым водам и затрудняющих использование данных участков для сельскохозяйственных нужд.</w:t>
      </w:r>
    </w:p>
    <w:p w:rsidR="00000000" w:rsidRDefault="0091246B">
      <w:pPr>
        <w:pStyle w:val="alignjustify1"/>
        <w:ind w:firstLine="709"/>
        <w:divId w:val="7511977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 отметила работу органов финансового контроля по обеспечению законности и выявлению право</w:t>
      </w:r>
      <w:r>
        <w:rPr>
          <w:color w:val="000000"/>
          <w:sz w:val="28"/>
          <w:szCs w:val="28"/>
        </w:rPr>
        <w:t>нарушений в бюджетной сфере. К примеру, в ходе проведенных Счетной палатой Республики Татарстан контрольных мероприятий в работе государственных учреждений выявлены нарушения на общую сумму более 2,5 млрд рублей.</w:t>
      </w:r>
    </w:p>
    <w:p w:rsidR="00000000" w:rsidRDefault="0091246B">
      <w:pPr>
        <w:pStyle w:val="alignjustify1"/>
        <w:ind w:firstLine="709"/>
        <w:divId w:val="7511977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Так, Министерством спорта Республики Татарс</w:t>
      </w:r>
      <w:r>
        <w:rPr>
          <w:color w:val="000000"/>
          <w:sz w:val="28"/>
          <w:szCs w:val="28"/>
        </w:rPr>
        <w:t>тан и Министерством по делам молодежи Республики Татарстан субсидии из республиканского бюджета в объеме более 270 млн рублей на организацию отдыха детей были предоставлены с нарушением требований законодательства, то есть при отсутствии софинансирования р</w:t>
      </w:r>
      <w:r>
        <w:rPr>
          <w:color w:val="000000"/>
          <w:sz w:val="28"/>
          <w:szCs w:val="28"/>
        </w:rPr>
        <w:t>асходов из местного бюджета. Контроль за выполнением муниципальными образованиями условий предоставления субсидий указанными министерствами не проводился на протяжении двух лет.</w:t>
      </w:r>
    </w:p>
    <w:p w:rsidR="00000000" w:rsidRDefault="0091246B">
      <w:pPr>
        <w:pStyle w:val="alignjustify1"/>
        <w:ind w:firstLine="709"/>
        <w:divId w:val="7511977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проверок, проведенных за предыдущий год Счетной палатой Республики Тата</w:t>
      </w:r>
      <w:r>
        <w:rPr>
          <w:color w:val="000000"/>
          <w:sz w:val="28"/>
          <w:szCs w:val="28"/>
        </w:rPr>
        <w:t>рстан в органах местного самоуправления, выявлена передача муниципальных объектов общей стоимостью более 150 млн рублей коммерческим организациям на безвозмездной основе без отражения в документах бухгалтерского учета, что создало коррупционные риски и при</w:t>
      </w:r>
      <w:r>
        <w:rPr>
          <w:color w:val="000000"/>
          <w:sz w:val="28"/>
          <w:szCs w:val="28"/>
        </w:rPr>
        <w:t>чинило ущерб местным бюджетам.</w:t>
      </w:r>
    </w:p>
    <w:p w:rsidR="00000000" w:rsidRDefault="0091246B">
      <w:pPr>
        <w:pStyle w:val="alignjustify1"/>
        <w:ind w:firstLine="709"/>
        <w:divId w:val="7511977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учетом изложенного в целях повышения эффективности антикоррупционной деятельности Комиссия решила:</w:t>
      </w:r>
    </w:p>
    <w:p w:rsidR="00000000" w:rsidRDefault="0091246B">
      <w:pPr>
        <w:divId w:val="2033678234"/>
        <w:rPr>
          <w:rFonts w:eastAsia="Times New Roman"/>
          <w:color w:val="000000"/>
          <w:sz w:val="28"/>
          <w:szCs w:val="28"/>
        </w:rPr>
      </w:pPr>
    </w:p>
    <w:p w:rsidR="00000000" w:rsidRDefault="0091246B">
      <w:pPr>
        <w:pStyle w:val="last-paragraph1"/>
        <w:divId w:val="20336782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 </w:t>
      </w: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 </w:t>
      </w:r>
      <w:r>
        <w:rPr>
          <w:color w:val="000000"/>
          <w:sz w:val="28"/>
          <w:szCs w:val="28"/>
        </w:rPr>
        <w:t>Кабинету Министров Республики Татарстан:</w:t>
      </w:r>
      <w:r>
        <w:rPr>
          <w:color w:val="000000"/>
          <w:sz w:val="28"/>
          <w:szCs w:val="28"/>
        </w:rPr>
        <w:t> </w:t>
      </w:r>
    </w:p>
    <w:p w:rsidR="00000000" w:rsidRDefault="0091246B">
      <w:pPr>
        <w:divId w:val="1084061654"/>
        <w:rPr>
          <w:rFonts w:eastAsia="Times New Roman"/>
          <w:color w:val="000000"/>
          <w:sz w:val="28"/>
          <w:szCs w:val="28"/>
        </w:rPr>
      </w:pPr>
    </w:p>
    <w:p w:rsidR="00000000" w:rsidRDefault="0091246B">
      <w:pPr>
        <w:pStyle w:val="last-paragraph1"/>
        <w:divId w:val="10840616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 </w:t>
      </w:r>
      <w:r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> </w:t>
      </w:r>
      <w:r>
        <w:rPr>
          <w:color w:val="000000"/>
          <w:sz w:val="28"/>
          <w:szCs w:val="28"/>
        </w:rPr>
        <w:t>организовать работу исполнительных органов государственной власти Республики Татарстан в курируемых ими сферах и подведомственных организациях по предупреждению коррупционных правонарушений при использовании и распоряжении имуществом и земельными ресурсами</w:t>
      </w:r>
      <w:r>
        <w:rPr>
          <w:color w:val="000000"/>
          <w:sz w:val="28"/>
          <w:szCs w:val="28"/>
        </w:rPr>
        <w:t>, при реализации национальных проектов и государственных программ, осуществлении закупок товаров, работ, услуг для обеспечения государственных нужд, в том числе строительных работ, и представить соответствующий отчёт.</w:t>
      </w:r>
    </w:p>
    <w:p w:rsidR="00000000" w:rsidRDefault="0091246B">
      <w:pPr>
        <w:jc w:val="right"/>
        <w:divId w:val="1084061654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Срок: раз в полгода;</w:t>
      </w:r>
      <w:r>
        <w:rPr>
          <w:rFonts w:eastAsia="Times New Roman"/>
          <w:color w:val="000000"/>
          <w:sz w:val="28"/>
          <w:szCs w:val="28"/>
        </w:rPr>
        <w:t> </w:t>
      </w:r>
    </w:p>
    <w:p w:rsidR="00000000" w:rsidRDefault="0091246B">
      <w:pPr>
        <w:divId w:val="1964338861"/>
        <w:rPr>
          <w:rFonts w:eastAsia="Times New Roman"/>
          <w:color w:val="000000"/>
          <w:sz w:val="28"/>
          <w:szCs w:val="28"/>
        </w:rPr>
      </w:pPr>
    </w:p>
    <w:p w:rsidR="00000000" w:rsidRDefault="0091246B">
      <w:pPr>
        <w:pStyle w:val="last-paragraph1"/>
        <w:divId w:val="19643388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 </w:t>
      </w:r>
      <w:r>
        <w:rPr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> </w:t>
      </w:r>
      <w:r>
        <w:rPr>
          <w:color w:val="000000"/>
          <w:sz w:val="28"/>
          <w:szCs w:val="28"/>
        </w:rPr>
        <w:t>обеспечи</w:t>
      </w:r>
      <w:r>
        <w:rPr>
          <w:color w:val="000000"/>
          <w:sz w:val="28"/>
          <w:szCs w:val="28"/>
        </w:rPr>
        <w:t xml:space="preserve">ть исполнение предусмотренных на 2020 год мероприятий Национального плана противодействия коррупции на 2018–2020 годы, </w:t>
      </w:r>
      <w:r>
        <w:rPr>
          <w:color w:val="000000"/>
          <w:sz w:val="28"/>
          <w:szCs w:val="28"/>
          <w:u w:val="single"/>
        </w:rPr>
        <w:t>Г</w:t>
      </w:r>
      <w:r>
        <w:rPr>
          <w:color w:val="000000"/>
          <w:sz w:val="28"/>
          <w:szCs w:val="28"/>
        </w:rPr>
        <w:t>осударственной программы «Реализация антикоррупционной политики Республики Татарстан на 2015–2023 годы» и представить соответствующую ин</w:t>
      </w:r>
      <w:r>
        <w:rPr>
          <w:color w:val="000000"/>
          <w:sz w:val="28"/>
          <w:szCs w:val="28"/>
        </w:rPr>
        <w:t>формацию о проделанной работе.</w:t>
      </w:r>
    </w:p>
    <w:p w:rsidR="00000000" w:rsidRDefault="0091246B">
      <w:pPr>
        <w:jc w:val="right"/>
        <w:divId w:val="196433886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Срок: раз в полгода.</w:t>
      </w:r>
      <w:r>
        <w:rPr>
          <w:rFonts w:eastAsia="Times New Roman"/>
          <w:color w:val="000000"/>
          <w:sz w:val="28"/>
          <w:szCs w:val="28"/>
        </w:rPr>
        <w:t> </w:t>
      </w:r>
    </w:p>
    <w:p w:rsidR="00000000" w:rsidRDefault="0091246B">
      <w:pPr>
        <w:divId w:val="88546566"/>
        <w:rPr>
          <w:rFonts w:eastAsia="Times New Roman"/>
          <w:color w:val="000000"/>
          <w:sz w:val="28"/>
          <w:szCs w:val="28"/>
        </w:rPr>
      </w:pPr>
    </w:p>
    <w:p w:rsidR="00000000" w:rsidRDefault="0091246B">
      <w:pPr>
        <w:pStyle w:val="last-paragraph1"/>
        <w:divId w:val="88546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 </w:t>
      </w: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 </w:t>
      </w:r>
      <w:r>
        <w:rPr>
          <w:color w:val="000000"/>
          <w:sz w:val="28"/>
          <w:szCs w:val="28"/>
        </w:rPr>
        <w:t>Министерству экологии и природных ресурсов Республики Татарстан принять меры по предупреждению коррупции, в том числе по выявлению и последующему устранению ее причин в сфере недропользования, а та</w:t>
      </w:r>
      <w:r>
        <w:rPr>
          <w:color w:val="000000"/>
          <w:sz w:val="28"/>
          <w:szCs w:val="28"/>
        </w:rPr>
        <w:t>кже по устранению недостатков в указанной сфере, выявленных комиссией РЭГ, и представить соответствующую информацию.</w:t>
      </w:r>
    </w:p>
    <w:p w:rsidR="00000000" w:rsidRDefault="0091246B">
      <w:pPr>
        <w:jc w:val="right"/>
        <w:divId w:val="88546566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Срок: 20.10.2020.</w:t>
      </w:r>
      <w:r>
        <w:rPr>
          <w:rFonts w:eastAsia="Times New Roman"/>
          <w:color w:val="000000"/>
          <w:sz w:val="28"/>
          <w:szCs w:val="28"/>
        </w:rPr>
        <w:t> </w:t>
      </w:r>
    </w:p>
    <w:p w:rsidR="00000000" w:rsidRDefault="0091246B">
      <w:pPr>
        <w:divId w:val="280308224"/>
        <w:rPr>
          <w:rFonts w:eastAsia="Times New Roman"/>
          <w:color w:val="000000"/>
          <w:sz w:val="28"/>
          <w:szCs w:val="28"/>
        </w:rPr>
      </w:pPr>
    </w:p>
    <w:p w:rsidR="00000000" w:rsidRDefault="0091246B">
      <w:pPr>
        <w:pStyle w:val="last-paragraph1"/>
        <w:divId w:val="2803082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 </w:t>
      </w: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 </w:t>
      </w:r>
      <w:r>
        <w:rPr>
          <w:color w:val="000000"/>
          <w:sz w:val="28"/>
          <w:szCs w:val="28"/>
        </w:rPr>
        <w:t>Органам государственной власти Республики Татарстан при выявлении контролирующими органами, в том числе Департамен</w:t>
      </w:r>
      <w:r>
        <w:rPr>
          <w:color w:val="000000"/>
          <w:sz w:val="28"/>
          <w:szCs w:val="28"/>
        </w:rPr>
        <w:t>том казначейства Министерства финансов Республики Татарстан, Счетной палатой Республики Татарстан, Управлением Федеральной антимонопольной службы по Республике Татарстан, случаев нарушений при распоряжении бюджетными средствами применять дисциплинарные взы</w:t>
      </w:r>
      <w:r>
        <w:rPr>
          <w:color w:val="000000"/>
          <w:sz w:val="28"/>
          <w:szCs w:val="28"/>
        </w:rPr>
        <w:t>скания в отношении виновных должностных лиц, принять меры по устранению причин и условий, способствующие совершению правонарушений в указанной сфере, и представить соответствующий отчет.</w:t>
      </w:r>
    </w:p>
    <w:p w:rsidR="00000000" w:rsidRDefault="0091246B">
      <w:pPr>
        <w:jc w:val="right"/>
        <w:divId w:val="280308224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Срок: 20.10.2020.</w:t>
      </w:r>
      <w:r>
        <w:rPr>
          <w:rFonts w:eastAsia="Times New Roman"/>
          <w:color w:val="000000"/>
          <w:sz w:val="28"/>
          <w:szCs w:val="28"/>
        </w:rPr>
        <w:t> </w:t>
      </w:r>
    </w:p>
    <w:p w:rsidR="00000000" w:rsidRDefault="0091246B">
      <w:pPr>
        <w:divId w:val="1647394811"/>
        <w:rPr>
          <w:rFonts w:eastAsia="Times New Roman"/>
          <w:color w:val="000000"/>
          <w:sz w:val="28"/>
          <w:szCs w:val="28"/>
        </w:rPr>
      </w:pPr>
    </w:p>
    <w:p w:rsidR="00000000" w:rsidRDefault="0091246B">
      <w:pPr>
        <w:pStyle w:val="last-paragraph1"/>
        <w:divId w:val="16473948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 </w:t>
      </w: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 </w:t>
      </w:r>
      <w:r>
        <w:rPr>
          <w:color w:val="000000"/>
          <w:sz w:val="28"/>
          <w:szCs w:val="28"/>
        </w:rPr>
        <w:t>Рекомендовать главам муниципальных районов и</w:t>
      </w:r>
      <w:r>
        <w:rPr>
          <w:color w:val="000000"/>
          <w:sz w:val="28"/>
          <w:szCs w:val="28"/>
        </w:rPr>
        <w:t xml:space="preserve"> городских округов Республики Татарстан обеспечить выполнение мероприятий, предусмотренных пунктами 1.1, 1.2 и 3 настоящего протокола, в отношении органов местного самоуправления и представить информацию о принятых мерах. </w:t>
      </w:r>
    </w:p>
    <w:p w:rsidR="00000000" w:rsidRDefault="0091246B">
      <w:pPr>
        <w:jc w:val="right"/>
        <w:divId w:val="164739481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Срок: раз в полгода.</w:t>
      </w:r>
      <w:r>
        <w:rPr>
          <w:rFonts w:eastAsia="Times New Roman"/>
          <w:color w:val="000000"/>
          <w:sz w:val="28"/>
          <w:szCs w:val="28"/>
        </w:rPr>
        <w:t> </w:t>
      </w:r>
    </w:p>
    <w:p w:rsidR="00000000" w:rsidRDefault="0091246B">
      <w:pPr>
        <w:divId w:val="635573151"/>
        <w:rPr>
          <w:rFonts w:eastAsia="Times New Roman"/>
          <w:color w:val="000000"/>
          <w:sz w:val="28"/>
          <w:szCs w:val="28"/>
        </w:rPr>
      </w:pPr>
    </w:p>
    <w:p w:rsidR="00000000" w:rsidRDefault="0091246B">
      <w:pPr>
        <w:pStyle w:val="last-paragraph1"/>
        <w:divId w:val="6355731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 </w:t>
      </w: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 </w:t>
      </w:r>
      <w:r>
        <w:rPr>
          <w:color w:val="000000"/>
          <w:sz w:val="28"/>
          <w:szCs w:val="28"/>
        </w:rPr>
        <w:t>Реком</w:t>
      </w:r>
      <w:r>
        <w:rPr>
          <w:color w:val="000000"/>
          <w:sz w:val="28"/>
          <w:szCs w:val="28"/>
        </w:rPr>
        <w:t>ендовать Ассоциации «Совет муниципальных образований Республики Татарстан» оказать методическое содействие органам местного самоуправления в исполнении пункта 4 настоящего протокола и представить информацию о проведенной работе.</w:t>
      </w:r>
    </w:p>
    <w:p w:rsidR="00000000" w:rsidRDefault="0091246B">
      <w:pPr>
        <w:jc w:val="right"/>
        <w:divId w:val="63557315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Срок: раз в полгода.</w:t>
      </w:r>
      <w:r>
        <w:rPr>
          <w:rFonts w:eastAsia="Times New Roman"/>
          <w:color w:val="000000"/>
          <w:sz w:val="28"/>
          <w:szCs w:val="28"/>
        </w:rPr>
        <w:t> </w:t>
      </w:r>
    </w:p>
    <w:p w:rsidR="00000000" w:rsidRDefault="0091246B">
      <w:pPr>
        <w:rPr>
          <w:rFonts w:eastAsia="Times New Roman"/>
          <w:color w:val="000000"/>
          <w:sz w:val="28"/>
          <w:szCs w:val="28"/>
        </w:rPr>
      </w:pPr>
    </w:p>
    <w:p w:rsidR="00000000" w:rsidRDefault="0091246B">
      <w:pPr>
        <w:rPr>
          <w:color w:val="000000"/>
          <w:sz w:val="28"/>
          <w:szCs w:val="28"/>
        </w:rPr>
      </w:pPr>
    </w:p>
    <w:p w:rsidR="00000000" w:rsidRDefault="0091246B">
      <w:pPr>
        <w:rPr>
          <w:color w:val="000000"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2"/>
        <w:gridCol w:w="3383"/>
      </w:tblGrid>
      <w:tr w:rsidR="00000000">
        <w:trPr>
          <w:tblCellSpacing w:w="15" w:type="dxa"/>
        </w:trPr>
        <w:tc>
          <w:tcPr>
            <w:tcW w:w="3350" w:type="pct"/>
            <w:vAlign w:val="bottom"/>
            <w:hideMark/>
          </w:tcPr>
          <w:p w:rsidR="00000000" w:rsidRDefault="0091246B">
            <w:pPr>
              <w:spacing w:before="22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Подготовил:</w:t>
            </w:r>
            <w:r>
              <w:rPr>
                <w:rFonts w:eastAsia="Times New Roman"/>
                <w:sz w:val="28"/>
                <w:szCs w:val="28"/>
              </w:rPr>
              <w:br/>
              <w:t>Секретарь комиссии, начальник Управления Президента Республики Татарстан по вопросам антикоррупционной политики</w:t>
            </w:r>
          </w:p>
        </w:tc>
        <w:tc>
          <w:tcPr>
            <w:tcW w:w="2500" w:type="pct"/>
            <w:vAlign w:val="bottom"/>
            <w:hideMark/>
          </w:tcPr>
          <w:p w:rsidR="00000000" w:rsidRDefault="0091246B">
            <w:pPr>
              <w:spacing w:before="227"/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М.С. Бадрутдинов</w:t>
            </w:r>
          </w:p>
        </w:tc>
      </w:tr>
    </w:tbl>
    <w:p w:rsidR="00000000" w:rsidRDefault="0091246B">
      <w:pPr>
        <w:rPr>
          <w:rFonts w:eastAsia="Times New Roman"/>
        </w:rPr>
      </w:pPr>
    </w:p>
    <w:sectPr w:rsidR="00000000">
      <w:headerReference w:type="default" r:id="rId6"/>
      <w:pgSz w:w="11906" w:h="16838"/>
      <w:pgMar w:top="0" w:right="567" w:bottom="1134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1246B">
      <w:r>
        <w:separator/>
      </w:r>
    </w:p>
  </w:endnote>
  <w:endnote w:type="continuationSeparator" w:id="0">
    <w:p w:rsidR="00000000" w:rsidRDefault="0091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1246B">
      <w:r>
        <w:separator/>
      </w:r>
    </w:p>
  </w:footnote>
  <w:footnote w:type="continuationSeparator" w:id="0">
    <w:p w:rsidR="00000000" w:rsidRDefault="00912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1246B">
    <w:pPr>
      <w:pStyle w:val="a3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5</w:t>
    </w:r>
    <w:r>
      <w:rPr>
        <w:rStyle w:val="a9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1246B"/>
    <w:rsid w:val="0091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408A0-9CD1-4F4E-9FC5-F9F5C6AF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Pr>
      <w:rFonts w:eastAsiaTheme="minorEastAsia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eastAsiaTheme="minorEastAsia"/>
      <w:sz w:val="24"/>
      <w:szCs w:val="24"/>
    </w:r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lignright">
    <w:name w:val="alignright"/>
    <w:basedOn w:val="a"/>
    <w:pPr>
      <w:spacing w:before="100" w:beforeAutospacing="1" w:after="100" w:afterAutospacing="1"/>
      <w:jc w:val="right"/>
    </w:pPr>
  </w:style>
  <w:style w:type="paragraph" w:customStyle="1" w:styleId="alignleft">
    <w:name w:val="alignleft"/>
    <w:basedOn w:val="a"/>
    <w:pPr>
      <w:spacing w:before="100" w:beforeAutospacing="1" w:after="100" w:afterAutospacing="1"/>
    </w:pPr>
  </w:style>
  <w:style w:type="paragraph" w:customStyle="1" w:styleId="aligncenter">
    <w:name w:val="aligncenter"/>
    <w:basedOn w:val="a"/>
    <w:pPr>
      <w:spacing w:before="100" w:beforeAutospacing="1" w:after="100" w:afterAutospacing="1"/>
      <w:jc w:val="center"/>
    </w:pPr>
  </w:style>
  <w:style w:type="paragraph" w:customStyle="1" w:styleId="alignjustify">
    <w:name w:val="alignjustify"/>
    <w:basedOn w:val="a"/>
    <w:pPr>
      <w:spacing w:before="100" w:beforeAutospacing="1" w:after="100" w:afterAutospacing="1"/>
      <w:jc w:val="both"/>
    </w:pPr>
  </w:style>
  <w:style w:type="paragraph" w:customStyle="1" w:styleId="signature-table">
    <w:name w:val="signature-table"/>
    <w:basedOn w:val="a"/>
    <w:pPr>
      <w:spacing w:before="227" w:after="100" w:afterAutospacing="1"/>
    </w:pPr>
  </w:style>
  <w:style w:type="paragraph" w:customStyle="1" w:styleId="num-and-date">
    <w:name w:val="num-and-date"/>
    <w:basedOn w:val="a"/>
    <w:pPr>
      <w:spacing w:before="100" w:beforeAutospacing="1" w:after="100" w:afterAutospacing="1"/>
    </w:pPr>
  </w:style>
  <w:style w:type="paragraph" w:customStyle="1" w:styleId="last-paragraph">
    <w:name w:val="last-paragraph"/>
    <w:basedOn w:val="a"/>
    <w:pPr>
      <w:keepNext/>
      <w:spacing w:before="100" w:beforeAutospacing="1" w:after="100" w:afterAutospacing="1"/>
      <w:ind w:firstLine="709"/>
    </w:pPr>
  </w:style>
  <w:style w:type="paragraph" w:customStyle="1" w:styleId="executor-block">
    <w:name w:val="executor-block"/>
    <w:basedOn w:val="a"/>
    <w:pPr>
      <w:spacing w:before="100" w:beforeAutospacing="1" w:after="100" w:afterAutospacing="1"/>
    </w:pPr>
    <w:rPr>
      <w:color w:val="808080"/>
      <w:sz w:val="20"/>
      <w:szCs w:val="20"/>
    </w:rPr>
  </w:style>
  <w:style w:type="paragraph" w:customStyle="1" w:styleId="protocol-answer">
    <w:name w:val="protocol-answer"/>
    <w:basedOn w:val="a"/>
    <w:pPr>
      <w:spacing w:before="100" w:beforeAutospacing="1" w:after="100" w:afterAutospacing="1"/>
    </w:pPr>
  </w:style>
  <w:style w:type="paragraph" w:customStyle="1" w:styleId="signature-td">
    <w:name w:val="signature-td"/>
    <w:basedOn w:val="a"/>
    <w:pPr>
      <w:spacing w:before="100" w:beforeAutospacing="1" w:after="100" w:afterAutospacing="1"/>
    </w:pPr>
  </w:style>
  <w:style w:type="paragraph" w:customStyle="1" w:styleId="protocol-answerheader">
    <w:name w:val="protocol-answer__header"/>
    <w:basedOn w:val="a"/>
    <w:pPr>
      <w:spacing w:before="567" w:after="100" w:afterAutospacing="1"/>
    </w:pPr>
  </w:style>
  <w:style w:type="paragraph" w:customStyle="1" w:styleId="protocol-answersup-header">
    <w:name w:val="protocol-answer__sup-header"/>
    <w:basedOn w:val="a"/>
    <w:pPr>
      <w:spacing w:before="652" w:after="100" w:afterAutospacing="1"/>
    </w:pPr>
  </w:style>
  <w:style w:type="paragraph" w:customStyle="1" w:styleId="protocol-answersub-header">
    <w:name w:val="protocol-answer__sub-header"/>
    <w:basedOn w:val="a"/>
    <w:pPr>
      <w:spacing w:before="100" w:beforeAutospacing="1" w:after="240"/>
    </w:pPr>
  </w:style>
  <w:style w:type="paragraph" w:customStyle="1" w:styleId="without-header">
    <w:name w:val="without-header"/>
    <w:basedOn w:val="a"/>
    <w:pPr>
      <w:spacing w:before="100" w:beforeAutospacing="1" w:after="100" w:afterAutospacing="1"/>
    </w:pPr>
  </w:style>
  <w:style w:type="paragraph" w:customStyle="1" w:styleId="protocol-answer1">
    <w:name w:val="protocol-answer1"/>
    <w:basedOn w:val="a"/>
    <w:pPr>
      <w:spacing w:after="567"/>
    </w:pPr>
  </w:style>
  <w:style w:type="paragraph" w:customStyle="1" w:styleId="without-header1">
    <w:name w:val="without-header1"/>
    <w:basedOn w:val="a"/>
  </w:style>
  <w:style w:type="paragraph" w:customStyle="1" w:styleId="alignleft1">
    <w:name w:val="alignleft1"/>
    <w:basedOn w:val="a"/>
  </w:style>
  <w:style w:type="paragraph" w:customStyle="1" w:styleId="aligncenter1">
    <w:name w:val="aligncenter1"/>
    <w:basedOn w:val="a"/>
    <w:pPr>
      <w:jc w:val="center"/>
    </w:pPr>
  </w:style>
  <w:style w:type="character" w:styleId="a8">
    <w:name w:val="Strong"/>
    <w:basedOn w:val="a0"/>
    <w:uiPriority w:val="22"/>
    <w:qFormat/>
    <w:rPr>
      <w:b/>
      <w:bCs/>
    </w:rPr>
  </w:style>
  <w:style w:type="paragraph" w:customStyle="1" w:styleId="alignjustify1">
    <w:name w:val="alignjustify1"/>
    <w:basedOn w:val="a"/>
    <w:pPr>
      <w:jc w:val="both"/>
    </w:pPr>
  </w:style>
  <w:style w:type="paragraph" w:customStyle="1" w:styleId="last-paragraph1">
    <w:name w:val="last-paragraph1"/>
    <w:basedOn w:val="a"/>
    <w:pPr>
      <w:keepNext/>
      <w:ind w:firstLine="709"/>
      <w:jc w:val="both"/>
    </w:pPr>
  </w:style>
  <w:style w:type="character" w:styleId="a9">
    <w:name w:val="page number"/>
    <w:basedOn w:val="a0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1413</Words>
  <Characters>10892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lastModifiedBy>АЛСУ</cp:lastModifiedBy>
  <cp:revision>2</cp:revision>
  <dcterms:created xsi:type="dcterms:W3CDTF">2020-08-12T13:31:00Z</dcterms:created>
  <dcterms:modified xsi:type="dcterms:W3CDTF">2020-08-12T13:31:00Z</dcterms:modified>
</cp:coreProperties>
</file>